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380.0" w:type="dxa"/>
        <w:jc w:val="left"/>
        <w:tblInd w:w="-98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95"/>
        <w:gridCol w:w="8685"/>
        <w:gridCol w:w="1200"/>
        <w:tblGridChange w:id="0">
          <w:tblGrid>
            <w:gridCol w:w="495"/>
            <w:gridCol w:w="8685"/>
            <w:gridCol w:w="1200"/>
          </w:tblGrid>
        </w:tblGridChange>
      </w:tblGrid>
      <w:tr>
        <w:trPr>
          <w:cantSplit w:val="0"/>
          <w:trHeight w:val="39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2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Procedimento da Contratante ou Contratada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4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Aplica</w:t>
            </w:r>
          </w:p>
          <w:p w:rsidR="00000000" w:rsidDel="00000000" w:rsidP="00000000" w:rsidRDefault="00000000" w:rsidRPr="00000000" w14:paraId="00000005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Sim/Não</w:t>
            </w:r>
          </w:p>
        </w:tc>
      </w:tr>
      <w:tr>
        <w:trPr>
          <w:cantSplit w:val="0"/>
          <w:trHeight w:val="16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6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01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7">
            <w:pPr>
              <w:widowControl w:val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Ofício da contratante (ou contratada) solicitando à contratada (ou contratante)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 revisão do valor do contrato para restabelecer o equilíbrio econômico-financeiro inicial do contrato em caso de força maior, caso fortuito ou fato do príncipe ou em decorrência de fatos imprevisíveis ou previsíveis de consequências incalculáveis, que inviabilizam a execução do contrato tal como pactuado (alínea “d”, inciso II, art. 124 da Lei Federal nº 14.133/2021).</w:t>
            </w:r>
          </w:p>
          <w:p w:rsidR="00000000" w:rsidDel="00000000" w:rsidP="00000000" w:rsidRDefault="00000000" w:rsidRPr="00000000" w14:paraId="00000008">
            <w:pPr>
              <w:widowControl w:val="0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widowControl w:val="0"/>
              <w:jc w:val="both"/>
              <w:rPr>
                <w:rFonts w:ascii="Calibri" w:cs="Calibri" w:eastAsia="Calibri" w:hAnsi="Calibri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22"/>
                <w:szCs w:val="22"/>
                <w:rtl w:val="0"/>
              </w:rPr>
              <w:t xml:space="preserve">Atenção: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Anexar ao ofício o cálculo da variação dos custos com as devidas comprovações.</w:t>
            </w:r>
          </w:p>
          <w:p w:rsidR="00000000" w:rsidDel="00000000" w:rsidP="00000000" w:rsidRDefault="00000000" w:rsidRPr="00000000" w14:paraId="0000000A">
            <w:pPr>
              <w:widowControl w:val="0"/>
              <w:jc w:val="both"/>
              <w:rPr>
                <w:rFonts w:ascii="Calibri" w:cs="Calibri" w:eastAsia="Calibri" w:hAnsi="Calibri"/>
                <w:color w:val="1f1f1f"/>
                <w:sz w:val="22"/>
                <w:szCs w:val="22"/>
                <w:highlight w:val="whit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B">
            <w:pPr>
              <w:widowControl w:val="0"/>
              <w:jc w:val="both"/>
              <w:rPr>
                <w:rFonts w:ascii="Calibri" w:cs="Calibri" w:eastAsia="Calibri" w:hAnsi="Calibri"/>
                <w:color w:val="1f1f1f"/>
                <w:sz w:val="22"/>
                <w:szCs w:val="22"/>
                <w:highlight w:val="white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ff0000"/>
                <w:sz w:val="22"/>
                <w:szCs w:val="22"/>
                <w:highlight w:val="white"/>
                <w:rtl w:val="0"/>
              </w:rPr>
              <w:t xml:space="preserve">Atenção:</w:t>
            </w:r>
            <w:r w:rsidDel="00000000" w:rsidR="00000000" w:rsidRPr="00000000">
              <w:rPr>
                <w:rFonts w:ascii="Calibri" w:cs="Calibri" w:eastAsia="Calibri" w:hAnsi="Calibri"/>
                <w:color w:val="1f1f1f"/>
                <w:sz w:val="22"/>
                <w:szCs w:val="22"/>
                <w:highlight w:val="white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color w:val="1f1f1f"/>
                <w:sz w:val="22"/>
                <w:szCs w:val="22"/>
                <w:highlight w:val="white"/>
                <w:u w:val="single"/>
                <w:rtl w:val="0"/>
              </w:rPr>
              <w:t xml:space="preserve">O pedido de restabelecimento do equilíbrio econômico-financeiro deverá ser formulado durante a vigência do contrato e antes de eventual prorrogação (Parágrafo único, art. 131 da Lei Federal nº 14.133/2021).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C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 </w:t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D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Procedimento da Contratante ou Contratada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0F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0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02 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1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  <w:u w:val="singl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Ofício contendo resposta da contratante (ou contratada).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2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3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Procedimento da Contratante (Unidade Administrativa)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5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6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03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7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Emissão do Controle de Execução Orçamentária - CEO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assinado pelo dirigente da unidade requisitante e pelo ordenador de despesa, conforme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modelo padrão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disponibilizado no Portal Transparência da Prefeitura de Porto Velho.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8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9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04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A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Emissão da Nota de Pré Empenho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 fim de demonstrar que há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dotações suficientes para o custeio das respectivas despesas (art. 105 da Lei Federal nº 14.133/2021).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B">
            <w:pPr>
              <w:pageBreakBefore w:val="0"/>
              <w:tabs>
                <w:tab w:val="left" w:leader="none" w:pos="6615"/>
              </w:tabs>
              <w:spacing w:line="240" w:lineRule="auto"/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C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05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D">
            <w:pPr>
              <w:tabs>
                <w:tab w:val="left" w:leader="none" w:pos="6615"/>
              </w:tabs>
              <w:jc w:val="both"/>
              <w:rPr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Autorização da despesa pelo ordenador da despesa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(art. 23 da Lei Complementar nº 882/2022).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1E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F">
            <w:pPr>
              <w:tabs>
                <w:tab w:val="left" w:leader="none" w:pos="6615"/>
              </w:tabs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  <w:shd w:fill="d9d9d9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shd w:fill="d9d9d9" w:val="clear"/>
                <w:rtl w:val="0"/>
              </w:rPr>
              <w:t xml:space="preserve">Procedimento da SGP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1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Sim/Não</w:t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06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3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Dispensado o parecer da SGP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(§ 3º, art. 10 do Decreto de padronização de procedimentos).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4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5">
            <w:pPr>
              <w:tabs>
                <w:tab w:val="left" w:leader="none" w:pos="6615"/>
              </w:tabs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  <w:shd w:fill="d9d9d9" w:val="clear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shd w:fill="d9d9d9" w:val="clear"/>
                <w:rtl w:val="0"/>
              </w:rPr>
              <w:t xml:space="preserve">Procedimento da PGM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7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Sim/Não</w:t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07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9">
            <w:pPr>
              <w:tabs>
                <w:tab w:val="left" w:leader="none" w:pos="6615"/>
              </w:tabs>
              <w:jc w:val="both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Dispensado o parecer da PGM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(§ 3º, art. 10 do Decreto de padronização de procedimentos).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A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20" w:hRule="atLeast"/>
          <w:tblHeader w:val="0"/>
        </w:trPr>
        <w:tc>
          <w:tcPr>
            <w:gridSpan w:val="2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B">
            <w:pPr>
              <w:tabs>
                <w:tab w:val="left" w:leader="none" w:pos="6615"/>
              </w:tabs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Procedimento da Unidade Administrativa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2D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Sim/Não</w:t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08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2F">
            <w:pPr>
              <w:tabs>
                <w:tab w:val="left" w:leader="none" w:pos="6615"/>
              </w:tabs>
              <w:spacing w:line="260" w:lineRule="auto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Emissão do Termo de Apostilamento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assinado pelo Ordenador de Despesa</w:t>
            </w: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,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conforme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u w:val="single"/>
                <w:rtl w:val="0"/>
              </w:rPr>
              <w:t xml:space="preserve">modelo padrão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 disponibilizado no Portal Transparência da Prefeitura de Porto Velho (art. 9º do Decreto de padronização de procedimentos e art. 136 da Lei Federal nº 14.133/2021).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0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2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1">
            <w:pPr>
              <w:pageBreakBefore w:val="0"/>
              <w:tabs>
                <w:tab w:val="left" w:leader="none" w:pos="6615"/>
              </w:tabs>
              <w:spacing w:line="240" w:lineRule="auto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09</w:t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32">
            <w:pPr>
              <w:tabs>
                <w:tab w:val="left" w:leader="none" w:pos="6615"/>
              </w:tabs>
              <w:spacing w:line="260" w:lineRule="auto"/>
              <w:jc w:val="both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Publicação do Termo de Apostilamento no D.O.M.E.R. e PNCP </w:t>
            </w: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(inciso VII, art. 16 do Decreto de Padronização de procedimentos).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</w:tcPr>
          <w:p w:rsidR="00000000" w:rsidDel="00000000" w:rsidP="00000000" w:rsidRDefault="00000000" w:rsidRPr="00000000" w14:paraId="00000033">
            <w:pPr>
              <w:pageBreakBefore w:val="0"/>
              <w:tabs>
                <w:tab w:val="left" w:leader="none" w:pos="6615"/>
              </w:tabs>
              <w:spacing w:line="240" w:lineRule="auto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15"/>
        </w:tabs>
        <w:spacing w:after="0" w:before="113" w:line="240" w:lineRule="auto"/>
        <w:ind w:left="-907" w:right="-1020" w:firstLine="0"/>
        <w:jc w:val="righ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15"/>
        </w:tabs>
        <w:spacing w:after="0" w:before="113" w:line="240" w:lineRule="auto"/>
        <w:ind w:left="-907" w:right="-1020" w:firstLine="0"/>
        <w:jc w:val="right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Porto Velho/RO, dia, mês e ano.</w:t>
      </w:r>
    </w:p>
    <w:p w:rsidR="00000000" w:rsidDel="00000000" w:rsidP="00000000" w:rsidRDefault="00000000" w:rsidRPr="00000000" w14:paraId="00000036">
      <w:pPr>
        <w:pageBreakBefore w:val="0"/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pBdr>
        <w:tabs>
          <w:tab w:val="left" w:leader="none" w:pos="6615"/>
        </w:tabs>
        <w:spacing w:line="240" w:lineRule="auto"/>
        <w:ind w:left="-907" w:right="-1077" w:firstLine="0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pageBreakBefore w:val="0"/>
        <w:pBdr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pBdr>
        <w:tabs>
          <w:tab w:val="left" w:leader="none" w:pos="6615"/>
        </w:tabs>
        <w:spacing w:line="240" w:lineRule="auto"/>
        <w:ind w:left="-907" w:right="-1077" w:firstLine="0"/>
        <w:jc w:val="center"/>
        <w:rPr>
          <w:rFonts w:ascii="Calibri" w:cs="Calibri" w:eastAsia="Calibri" w:hAnsi="Calibri"/>
          <w:b w:val="1"/>
          <w:sz w:val="22"/>
          <w:szCs w:val="22"/>
          <w:u w:val="single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Identificação e assinatura do servidor responsável pela conferência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15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6615"/>
        </w:tabs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headerReference r:id="rId6" w:type="default"/>
      <w:footerReference r:id="rId7" w:type="default"/>
      <w:pgSz w:h="15840" w:w="12240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Calibri"/>
  <w:font w:name="Times New Roman"/>
  <w:font w:name="Arial Black">
    <w:embedRegular w:fontKey="{00000000-0000-0000-0000-000000000000}" r:id="rId1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4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360" w:firstLine="0"/>
      <w:jc w:val="center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hyperlink r:id="rId1">
      <w:r w:rsidDel="00000000" w:rsidR="00000000" w:rsidRPr="00000000">
        <w:rPr>
          <w:rFonts w:ascii="Calibri" w:cs="Calibri" w:eastAsia="Calibri" w:hAnsi="Calibri"/>
          <w:b w:val="1"/>
          <w:i w:val="0"/>
          <w:smallCaps w:val="0"/>
          <w:strike w:val="0"/>
          <w:color w:val="000000"/>
          <w:sz w:val="16"/>
          <w:szCs w:val="16"/>
          <w:u w:val="single"/>
          <w:shd w:fill="auto" w:val="clear"/>
          <w:vertAlign w:val="baseline"/>
          <w:rtl w:val="0"/>
        </w:rPr>
        <w:t xml:space="preserve">www.portovelho.ro.gov.br</w:t>
      </w:r>
    </w:hyperlink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5588000</wp:posOffset>
              </wp:positionH>
              <wp:positionV relativeFrom="paragraph">
                <wp:posOffset>0</wp:posOffset>
              </wp:positionV>
              <wp:extent cx="24130" cy="29210"/>
              <wp:effectExtent b="0" l="0" r="0" t="0"/>
              <wp:wrapSquare wrapText="bothSides" distB="0" distT="0" distL="0" distR="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5338698" y="3770158"/>
                        <a:ext cx="14605" cy="1968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left"/>
                            <w:textDirection w:val="btLr"/>
                          </w:pPr>
                        </w:p>
                      </w:txbxContent>
                    </wps:txbx>
                    <wps:bodyPr anchorCtr="0" anchor="t" bIns="0" lIns="0" spcFirstLastPara="1" rIns="0" wrap="square" tIns="0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0" distR="0" hidden="0" layoutInCell="1" locked="0" relativeHeight="0" simplePos="0">
              <wp:simplePos x="0" y="0"/>
              <wp:positionH relativeFrom="column">
                <wp:posOffset>5588000</wp:posOffset>
              </wp:positionH>
              <wp:positionV relativeFrom="paragraph">
                <wp:posOffset>0</wp:posOffset>
              </wp:positionV>
              <wp:extent cx="24130" cy="29210"/>
              <wp:effectExtent b="0" l="0" r="0" t="0"/>
              <wp:wrapSquare wrapText="bothSides" distB="0" distT="0" distL="0" distR="0"/>
              <wp:docPr id="1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4130" cy="2921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4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360" w:firstLine="0"/>
      <w:jc w:val="center"/>
      <w:rPr>
        <w:rFonts w:ascii="Calibri" w:cs="Calibri" w:eastAsia="Calibri" w:hAnsi="Calibri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Modelo elaborado pela Controladoria Geral do Município, Procuradoria Geral do Município, Superintendência Municipal de Gestão de Gastos Públicos e Superintendência Municipal de Licitações</w:t>
    </w:r>
  </w:p>
  <w:p w:rsidR="00000000" w:rsidDel="00000000" w:rsidP="00000000" w:rsidRDefault="00000000" w:rsidRPr="00000000" w14:paraId="0000004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790"/>
      </w:tabs>
      <w:spacing w:after="0" w:before="0" w:line="240" w:lineRule="auto"/>
      <w:ind w:left="0" w:right="57" w:firstLine="0"/>
      <w:jc w:val="righ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  <w:rtl w:val="0"/>
      </w:rPr>
      <w:t xml:space="preserve">/</w:t>
    </w:r>
    <w:r w:rsidDel="00000000" w:rsidR="00000000" w:rsidRPr="00000000">
      <w:rPr>
        <w:rFonts w:ascii="Calibri" w:cs="Calibri" w:eastAsia="Calibri" w:hAnsi="Calibri"/>
        <w:b w:val="1"/>
        <w:i w:val="0"/>
        <w:smallCaps w:val="0"/>
        <w:strike w:val="0"/>
        <w:color w:val="000000"/>
        <w:sz w:val="16"/>
        <w:szCs w:val="16"/>
        <w:u w:val="none"/>
        <w:shd w:fill="auto" w:val="clear"/>
        <w:vertAlign w:val="baseline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3A">
    <w:pPr>
      <w:keepNext w:val="0"/>
      <w:keepLines w:val="0"/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before="0" w:line="276" w:lineRule="auto"/>
      <w:ind w:left="0" w:right="0" w:firstLine="0"/>
      <w:jc w:val="left"/>
      <w:rPr>
        <w:rFonts w:ascii="Calibri" w:cs="Calibri" w:eastAsia="Calibri" w:hAnsi="Calibri"/>
        <w:b w:val="1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tbl>
    <w:tblPr>
      <w:tblStyle w:val="Table2"/>
      <w:tblW w:w="9810.0" w:type="dxa"/>
      <w:jc w:val="left"/>
      <w:tblInd w:w="-496.0" w:type="dxa"/>
      <w:tblLayout w:type="fixed"/>
      <w:tblLook w:val="0000"/>
    </w:tblPr>
    <w:tblGrid>
      <w:gridCol w:w="1680"/>
      <w:gridCol w:w="8130"/>
      <w:tblGridChange w:id="0">
        <w:tblGrid>
          <w:gridCol w:w="1680"/>
          <w:gridCol w:w="8130"/>
        </w:tblGrid>
      </w:tblGridChange>
    </w:tblGrid>
    <w:tr>
      <w:trPr>
        <w:cantSplit w:val="0"/>
        <w:trHeight w:val="700" w:hRule="atLeast"/>
        <w:tblHeader w:val="0"/>
      </w:trPr>
      <w:tc>
        <w:tcPr>
          <w:shd w:fill="auto" w:val="clear"/>
        </w:tcPr>
        <w:p w:rsidR="00000000" w:rsidDel="00000000" w:rsidP="00000000" w:rsidRDefault="00000000" w:rsidRPr="00000000" w14:paraId="0000003B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left"/>
            <w:rPr>
              <w:rFonts w:ascii="Times New Roman" w:cs="Times New Roman" w:eastAsia="Times New Roman" w:hAnsi="Times New Roman"/>
              <w:b w:val="0"/>
              <w:i w:val="0"/>
              <w:smallCaps w:val="0"/>
              <w:strike w:val="0"/>
              <w:color w:val="000000"/>
              <w:sz w:val="24"/>
              <w:szCs w:val="24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tl w:val="0"/>
            </w:rPr>
          </w:r>
          <w:r w:rsidDel="00000000" w:rsidR="00000000" w:rsidRPr="00000000">
            <w:drawing>
              <wp:anchor allowOverlap="1" behindDoc="0" distB="0" distT="0" distL="0" distR="0" hidden="0" layoutInCell="1" locked="0" relativeHeight="0" simplePos="0">
                <wp:simplePos x="0" y="0"/>
                <wp:positionH relativeFrom="column">
                  <wp:posOffset>298450</wp:posOffset>
                </wp:positionH>
                <wp:positionV relativeFrom="paragraph">
                  <wp:posOffset>635</wp:posOffset>
                </wp:positionV>
                <wp:extent cx="723900" cy="669290"/>
                <wp:effectExtent b="0" l="0" r="0" t="0"/>
                <wp:wrapSquare wrapText="bothSides" distB="0" distT="0" distL="0" distR="0"/>
                <wp:docPr id="2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1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23900" cy="66929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w:r>
        </w:p>
      </w:tc>
      <w:tc>
        <w:tcPr>
          <w:shd w:fill="auto" w:val="clear"/>
        </w:tcPr>
        <w:p w:rsidR="00000000" w:rsidDel="00000000" w:rsidP="00000000" w:rsidRDefault="00000000" w:rsidRPr="00000000" w14:paraId="0000003C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  <w:rtl w:val="0"/>
            </w:rPr>
            <w:t xml:space="preserve">PREFEITURA DO MUNICÍPIO DE PORTO VELHO</w:t>
          </w:r>
        </w:p>
        <w:p w:rsidR="00000000" w:rsidDel="00000000" w:rsidP="00000000" w:rsidRDefault="00000000" w:rsidRPr="00000000" w14:paraId="0000003D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  <w:rtl w:val="0"/>
            </w:rPr>
            <w:t xml:space="preserve">SECRETARIA DE ORIGEM DO PROCESSO</w:t>
          </w:r>
        </w:p>
        <w:p w:rsidR="00000000" w:rsidDel="00000000" w:rsidP="00000000" w:rsidRDefault="00000000" w:rsidRPr="00000000" w14:paraId="0000003E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  <w:rtl w:val="0"/>
            </w:rPr>
            <w:t xml:space="preserve">Anexo </w:t>
          </w:r>
          <w:r w:rsidDel="00000000" w:rsidR="00000000" w:rsidRPr="00000000">
            <w:rPr>
              <w:rFonts w:ascii="Calibri" w:cs="Calibri" w:eastAsia="Calibri" w:hAnsi="Calibri"/>
              <w:b w:val="1"/>
              <w:rtl w:val="0"/>
            </w:rPr>
            <w:t xml:space="preserve">XXII </w:t>
          </w: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  <w:rtl w:val="0"/>
            </w:rPr>
            <w:t xml:space="preserve">do Decreto nº </w:t>
          </w:r>
          <w:r w:rsidDel="00000000" w:rsidR="00000000" w:rsidRPr="00000000">
            <w:rPr>
              <w:rFonts w:ascii="Calibri" w:cs="Calibri" w:eastAsia="Calibri" w:hAnsi="Calibri"/>
              <w:b w:val="1"/>
              <w:rtl w:val="0"/>
            </w:rPr>
            <w:t xml:space="preserve">XXXXX</w:t>
          </w: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  <w:rtl w:val="0"/>
            </w:rPr>
            <w:t xml:space="preserve"> de </w:t>
          </w:r>
          <w:r w:rsidDel="00000000" w:rsidR="00000000" w:rsidRPr="00000000">
            <w:rPr>
              <w:rFonts w:ascii="Calibri" w:cs="Calibri" w:eastAsia="Calibri" w:hAnsi="Calibri"/>
              <w:b w:val="1"/>
              <w:rtl w:val="0"/>
            </w:rPr>
            <w:t xml:space="preserve">XX</w:t>
          </w: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  <w:rtl w:val="0"/>
            </w:rPr>
            <w:t xml:space="preserve">/</w:t>
          </w:r>
          <w:r w:rsidDel="00000000" w:rsidR="00000000" w:rsidRPr="00000000">
            <w:rPr>
              <w:rFonts w:ascii="Calibri" w:cs="Calibri" w:eastAsia="Calibri" w:hAnsi="Calibri"/>
              <w:b w:val="1"/>
              <w:rtl w:val="0"/>
            </w:rPr>
            <w:t xml:space="preserve">XX</w:t>
          </w: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  <w:rtl w:val="0"/>
            </w:rPr>
            <w:t xml:space="preserve">/</w:t>
          </w:r>
          <w:r w:rsidDel="00000000" w:rsidR="00000000" w:rsidRPr="00000000">
            <w:rPr>
              <w:rFonts w:ascii="Calibri" w:cs="Calibri" w:eastAsia="Calibri" w:hAnsi="Calibri"/>
              <w:b w:val="1"/>
              <w:rtl w:val="0"/>
            </w:rPr>
            <w:t xml:space="preserve">XXXX</w:t>
          </w: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3F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6615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1"/>
              <w:u w:val="singl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u w:val="single"/>
              <w:shd w:fill="auto" w:val="clear"/>
              <w:vertAlign w:val="baseline"/>
              <w:rtl w:val="0"/>
            </w:rPr>
            <w:t xml:space="preserve">Formulário de Conferência de Procedimentos para</w:t>
          </w:r>
          <w:r w:rsidDel="00000000" w:rsidR="00000000" w:rsidRPr="00000000">
            <w:rPr>
              <w:rFonts w:ascii="Calibri" w:cs="Calibri" w:eastAsia="Calibri" w:hAnsi="Calibri"/>
              <w:b w:val="1"/>
              <w:u w:val="single"/>
              <w:rtl w:val="0"/>
            </w:rPr>
            <w:t xml:space="preserve"> Revisão do Contrato (alínea “d”, inciso II, art. 124 da Lei Federal nº 14.133/2021)</w:t>
          </w:r>
        </w:p>
        <w:p w:rsidR="00000000" w:rsidDel="00000000" w:rsidP="00000000" w:rsidRDefault="00000000" w:rsidRPr="00000000" w14:paraId="00000040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left" w:leader="none" w:pos="6615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1"/>
              <w:u w:val="single"/>
            </w:rPr>
          </w:pPr>
          <w:r w:rsidDel="00000000" w:rsidR="00000000" w:rsidRPr="00000000">
            <w:rPr>
              <w:rtl w:val="0"/>
            </w:rPr>
          </w:r>
        </w:p>
        <w:p w:rsidR="00000000" w:rsidDel="00000000" w:rsidP="00000000" w:rsidRDefault="00000000" w:rsidRPr="00000000" w14:paraId="00000041">
          <w:pPr>
            <w:keepNext w:val="0"/>
            <w:keepLines w:val="0"/>
            <w:pageBreakBefore w:val="0"/>
            <w:widowControl w:val="1"/>
            <w:pBdr>
              <w:top w:space="0" w:sz="0" w:val="nil"/>
              <w:left w:space="0" w:sz="0" w:val="nil"/>
              <w:bottom w:space="0" w:sz="0" w:val="nil"/>
              <w:right w:space="0" w:sz="0" w:val="nil"/>
              <w:between w:space="0" w:sz="0" w:val="nil"/>
            </w:pBdr>
            <w:shd w:fill="auto" w:val="clear"/>
            <w:tabs>
              <w:tab w:val="center" w:leader="none" w:pos="4252"/>
              <w:tab w:val="right" w:leader="none" w:pos="8504"/>
            </w:tabs>
            <w:spacing w:after="0" w:before="0" w:line="240" w:lineRule="auto"/>
            <w:ind w:left="0" w:right="0" w:firstLine="0"/>
            <w:jc w:val="center"/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</w:rPr>
          </w:pPr>
          <w:r w:rsidDel="00000000" w:rsidR="00000000" w:rsidRPr="00000000">
            <w:rPr>
              <w:rFonts w:ascii="Calibri" w:cs="Calibri" w:eastAsia="Calibri" w:hAnsi="Calibri"/>
              <w:b w:val="1"/>
              <w:i w:val="0"/>
              <w:smallCaps w:val="0"/>
              <w:strike w:val="0"/>
              <w:color w:val="000000"/>
              <w:u w:val="none"/>
              <w:shd w:fill="auto" w:val="clear"/>
              <w:vertAlign w:val="baseline"/>
              <w:rtl w:val="0"/>
            </w:rPr>
            <w:t xml:space="preserve">PROCESSO Nº __________________________/_____________</w:t>
          </w:r>
        </w:p>
      </w:tc>
    </w:tr>
  </w:tbl>
  <w:p w:rsidR="00000000" w:rsidDel="00000000" w:rsidP="00000000" w:rsidRDefault="00000000" w:rsidRPr="00000000" w14:paraId="0000004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pageBreakBefore w:val="0"/>
      <w:tabs>
        <w:tab w:val="left" w:leader="none" w:pos="6615"/>
      </w:tabs>
      <w:spacing w:line="260" w:lineRule="auto"/>
      <w:ind w:left="-900" w:right="0" w:firstLine="0"/>
      <w:jc w:val="both"/>
    </w:pPr>
    <w:rPr>
      <w:rFonts w:ascii="Arial" w:cs="Arial" w:eastAsia="Arial" w:hAnsi="Arial"/>
      <w:b w:val="1"/>
    </w:rPr>
  </w:style>
  <w:style w:type="paragraph" w:styleId="Heading2">
    <w:name w:val="heading 2"/>
    <w:basedOn w:val="Normal"/>
    <w:next w:val="Normal"/>
    <w:pPr>
      <w:keepNext w:val="1"/>
      <w:pageBreakBefore w:val="0"/>
      <w:pBdr>
        <w:top w:color="000000" w:space="0" w:sz="4" w:val="single"/>
        <w:left w:color="000000" w:space="0" w:sz="4" w:val="single"/>
        <w:bottom w:color="000000" w:space="0" w:sz="4" w:val="single"/>
        <w:right w:color="000000" w:space="0" w:sz="4" w:val="single"/>
      </w:pBdr>
      <w:tabs>
        <w:tab w:val="left" w:leader="none" w:pos="6615"/>
      </w:tabs>
      <w:spacing w:line="260" w:lineRule="auto"/>
      <w:ind w:left="-900" w:right="-1062" w:firstLine="0"/>
    </w:pPr>
    <w:rPr>
      <w:rFonts w:ascii="Arial" w:cs="Arial" w:eastAsia="Arial" w:hAnsi="Arial"/>
      <w:b w:val="1"/>
      <w:sz w:val="20"/>
      <w:szCs w:val="20"/>
    </w:rPr>
  </w:style>
  <w:style w:type="paragraph" w:styleId="Heading3">
    <w:name w:val="heading 3"/>
    <w:basedOn w:val="Normal"/>
    <w:next w:val="Normal"/>
    <w:pPr>
      <w:keepNext w:val="1"/>
      <w:pageBreakBefore w:val="0"/>
      <w:tabs>
        <w:tab w:val="left" w:leader="none" w:pos="6615"/>
      </w:tabs>
      <w:spacing w:line="260" w:lineRule="auto"/>
      <w:ind w:left="0" w:firstLine="0"/>
      <w:jc w:val="center"/>
    </w:pPr>
    <w:rPr>
      <w:rFonts w:ascii="Arial Black" w:cs="Arial Black" w:eastAsia="Arial Black" w:hAnsi="Arial Black"/>
      <w:b w:val="1"/>
      <w:sz w:val="20"/>
      <w:szCs w:val="20"/>
    </w:rPr>
  </w:style>
  <w:style w:type="paragraph" w:styleId="Heading4">
    <w:name w:val="heading 4"/>
    <w:basedOn w:val="Normal"/>
    <w:next w:val="Normal"/>
    <w:pPr>
      <w:keepNext w:val="1"/>
      <w:pageBreakBefore w:val="0"/>
      <w:tabs>
        <w:tab w:val="left" w:leader="none" w:pos="6615"/>
      </w:tabs>
      <w:spacing w:line="260" w:lineRule="auto"/>
      <w:ind w:left="0" w:firstLine="0"/>
      <w:jc w:val="both"/>
    </w:pPr>
    <w:rPr>
      <w:rFonts w:ascii="Arial" w:cs="Arial" w:eastAsia="Arial" w:hAnsi="Arial"/>
      <w:b w:val="1"/>
      <w:sz w:val="20"/>
      <w:szCs w:val="20"/>
    </w:rPr>
  </w:style>
  <w:style w:type="paragraph" w:styleId="Heading5">
    <w:name w:val="heading 5"/>
    <w:basedOn w:val="Normal"/>
    <w:next w:val="Normal"/>
    <w:pPr>
      <w:keepNext w:val="1"/>
      <w:pageBreakBefore w:val="0"/>
      <w:tabs>
        <w:tab w:val="left" w:leader="none" w:pos="6615"/>
      </w:tabs>
      <w:spacing w:line="260" w:lineRule="auto"/>
      <w:ind w:left="0" w:firstLine="0"/>
      <w:jc w:val="both"/>
    </w:pPr>
    <w:rPr>
      <w:rFonts w:ascii="Arial" w:cs="Arial" w:eastAsia="Arial" w:hAnsi="Arial"/>
      <w:b w:val="1"/>
      <w:sz w:val="20"/>
      <w:szCs w:val="20"/>
      <w:u w:val="single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pageBreakBefore w:val="0"/>
      <w:spacing w:after="120" w:before="240" w:lineRule="auto"/>
      <w:jc w:val="center"/>
    </w:pPr>
    <w:rPr>
      <w:rFonts w:ascii="Arial" w:cs="Arial" w:eastAsia="Arial" w:hAnsi="Arial"/>
      <w:b w:val="1"/>
      <w:i w:val="1"/>
      <w:sz w:val="28"/>
      <w:szCs w:val="2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3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Relationship Id="rId7" Type="http://schemas.openxmlformats.org/officeDocument/2006/relationships/footer" Target="foot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alBlack-regular.ttf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hyperlink" Target="http://www.portovelho.ro.gov.br/" TargetMode="External"/><Relationship Id="rId2" Type="http://schemas.openxmlformats.org/officeDocument/2006/relationships/image" Target="media/image2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