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00.0" w:type="dxa"/>
        <w:jc w:val="left"/>
        <w:tblInd w:w="-9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"/>
        <w:gridCol w:w="8880"/>
        <w:gridCol w:w="1125"/>
        <w:tblGridChange w:id="0">
          <w:tblGrid>
            <w:gridCol w:w="495"/>
            <w:gridCol w:w="8880"/>
            <w:gridCol w:w="112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Contratante (Unidade Administrativa)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Aplica</w:t>
            </w:r>
          </w:p>
          <w:p w:rsidR="00000000" w:rsidDel="00000000" w:rsidP="00000000" w:rsidRDefault="00000000" w:rsidRPr="00000000" w14:paraId="0000000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Ofício da contratante comunicando a contratada sobre necessidade da modificação do valor contratual em decorrência de acréscimo ou diminuição quantitativa de seu objeto (alínea “b”, inciso I, art. 124 da Lei Federal nº 14.133/2021).</w:t>
            </w:r>
          </w:p>
          <w:p w:rsidR="00000000" w:rsidDel="00000000" w:rsidP="00000000" w:rsidRDefault="00000000" w:rsidRPr="00000000" w14:paraId="00000008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Anexar ao ofício o cálculo demonstrativo da aplicação do reajuste,</w:t>
            </w:r>
          </w:p>
          <w:p w:rsidR="00000000" w:rsidDel="00000000" w:rsidP="00000000" w:rsidRDefault="00000000" w:rsidRPr="00000000" w14:paraId="0000000A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O contratado será obrigado a aceitar, nas mesmas condições contratuais, acréscimos ou supressões de até 25% (vinte e cinco por cento) do valor inicial atualizado do contrato que se fizerem nas obras, nos serviços ou nas compras, e, no caso de reforma de edifício ou de equipamento, o limite para os acréscimos será de 50% (cinquenta por cento). (art. 125 da Lei Federal nº 14.133/2021).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Contratada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Ofício contendo resposta de ciência da contratada.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Contratante (Unidade Administrativa)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Controle de Execução Orçamentária - CEO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assinado pelo dirigente da unidade requisitante e pelo ordenador de despesa,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da Nota de Pré Empenho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 fim de demonstrar que há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dotações suficientes para o custeio das respectivas despesas (art. 105 da Lei Federal nº 14.133/2021).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tabs>
                <w:tab w:val="left" w:leader="none" w:pos="6615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Autorização da despesa pelo ordenador da despesa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(art. 23 da Lei Complementar nº 882/2022).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encaminhando os autos à Procuradoria Geral do Município - PGM para análise jurídica para o aditivo do contrato (§ 2º, art. 10 do Decreto de padronização de procedimentos).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  <w:rtl w:val="0"/>
              </w:rPr>
              <w:t xml:space="preserve">Procedimento da SGP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Dispensado o parecer da SGP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(§ 3º, art. 10 do Decreto de padronização de procedimentos).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  <w:rtl w:val="0"/>
              </w:rPr>
              <w:t xml:space="preserve">Procedimento da PGM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 Parecer Jurídico (§ 2º, art. 10 do Decreto de padronização de procedimentos).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09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aditivo do contrato.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Assinatura do contrato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pelo ordenador de despesas.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 extrato do aditivo do contrato no D.O.M.E.R. e PNCP (inciso III, art. 16 do Decreto de padronização de procedimentos).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113" w:line="240" w:lineRule="auto"/>
        <w:ind w:left="-907" w:right="-102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113" w:line="240" w:lineRule="auto"/>
        <w:ind w:left="-907" w:right="-102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Porto Velho/RO, dia, mês e ano.</w:t>
      </w:r>
    </w:p>
    <w:p w:rsidR="00000000" w:rsidDel="00000000" w:rsidP="00000000" w:rsidRDefault="00000000" w:rsidRPr="00000000" w14:paraId="0000003C">
      <w:pPr>
        <w:pageBreakBefore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6615"/>
        </w:tabs>
        <w:spacing w:line="240" w:lineRule="auto"/>
        <w:ind w:left="-907" w:right="-1077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6615"/>
        </w:tabs>
        <w:spacing w:line="240" w:lineRule="auto"/>
        <w:ind w:left="-907" w:right="-1077" w:firstLine="0"/>
        <w:jc w:val="center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Identificação e assinatura do servidor responsável pela conferência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www.portovelho.ro.gov.br</w:t>
      </w:r>
    </w:hyperlink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5588000</wp:posOffset>
              </wp:positionH>
              <wp:positionV relativeFrom="paragraph">
                <wp:posOffset>0</wp:posOffset>
              </wp:positionV>
              <wp:extent cx="24130" cy="2921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38698" y="3770158"/>
                        <a:ext cx="14605" cy="19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5588000</wp:posOffset>
              </wp:positionH>
              <wp:positionV relativeFrom="paragraph">
                <wp:posOffset>0</wp:posOffset>
              </wp:positionV>
              <wp:extent cx="24130" cy="2921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292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Modelo elaborado pela Controladoria Geral do Município, Procuradoria Geral do Município, Superintendência Municipal de Gestão de Gastos Públicos e Superintendência Municipal de Licitações</w:t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790"/>
      </w:tabs>
      <w:spacing w:after="0" w:before="0" w:line="240" w:lineRule="auto"/>
      <w:ind w:left="0" w:right="57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810.0" w:type="dxa"/>
      <w:jc w:val="left"/>
      <w:tblInd w:w="-496.0" w:type="dxa"/>
      <w:tblLayout w:type="fixed"/>
      <w:tblLook w:val="0000"/>
    </w:tblPr>
    <w:tblGrid>
      <w:gridCol w:w="1680"/>
      <w:gridCol w:w="8130"/>
      <w:tblGridChange w:id="0">
        <w:tblGrid>
          <w:gridCol w:w="1680"/>
          <w:gridCol w:w="8130"/>
        </w:tblGrid>
      </w:tblGridChange>
    </w:tblGrid>
    <w:tr>
      <w:trPr>
        <w:cantSplit w:val="0"/>
        <w:trHeight w:val="700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4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298450</wp:posOffset>
                </wp:positionH>
                <wp:positionV relativeFrom="paragraph">
                  <wp:posOffset>635</wp:posOffset>
                </wp:positionV>
                <wp:extent cx="723900" cy="669290"/>
                <wp:effectExtent b="0" l="0" r="0" t="0"/>
                <wp:wrapSquare wrapText="bothSides" distB="0" distT="0" distL="0" distR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669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4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PREFEITURA DO MUNICÍPIO DE PORTO VELHO</w:t>
          </w:r>
        </w:p>
        <w:p w:rsidR="00000000" w:rsidDel="00000000" w:rsidP="00000000" w:rsidRDefault="00000000" w:rsidRPr="00000000" w14:paraId="0000004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SECRETARIA DE ORIGEM DO PROCESSO</w:t>
          </w:r>
        </w:p>
        <w:p w:rsidR="00000000" w:rsidDel="00000000" w:rsidP="00000000" w:rsidRDefault="00000000" w:rsidRPr="00000000" w14:paraId="0000004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Anexo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XXIII 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do Decreto nº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XXXXX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XXXX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15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u w:val="singl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single"/>
              <w:shd w:fill="auto" w:val="clear"/>
              <w:vertAlign w:val="baseline"/>
              <w:rtl w:val="0"/>
            </w:rPr>
            <w:t xml:space="preserve">Formulário de Conferência de Procedimentos para</w:t>
          </w:r>
          <w:r w:rsidDel="00000000" w:rsidR="00000000" w:rsidRPr="00000000">
            <w:rPr>
              <w:rFonts w:ascii="Calibri" w:cs="Calibri" w:eastAsia="Calibri" w:hAnsi="Calibri"/>
              <w:b w:val="1"/>
              <w:u w:val="single"/>
              <w:rtl w:val="0"/>
            </w:rPr>
            <w:t xml:space="preserve"> Acréscimo ou Diminuição Contratual (alínea “b”, inciso I, art. 124 da Lei Federal nº 14.133/2021)</w:t>
          </w:r>
        </w:p>
        <w:p w:rsidR="00000000" w:rsidDel="00000000" w:rsidP="00000000" w:rsidRDefault="00000000" w:rsidRPr="00000000" w14:paraId="0000004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15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u w:val="singl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PROCESSO Nº __________________________/_____________</w:t>
          </w:r>
        </w:p>
      </w:tc>
    </w:tr>
  </w:tbl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-900" w:right="0" w:firstLine="0"/>
      <w:jc w:val="both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tabs>
        <w:tab w:val="left" w:leader="none" w:pos="6615"/>
      </w:tabs>
      <w:spacing w:line="260" w:lineRule="auto"/>
      <w:ind w:left="-900" w:right="-1062" w:firstLine="0"/>
    </w:pPr>
    <w:rPr>
      <w:rFonts w:ascii="Arial" w:cs="Arial" w:eastAsia="Arial" w:hAnsi="Aria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center"/>
    </w:pPr>
    <w:rPr>
      <w:rFonts w:ascii="Arial Black" w:cs="Arial Black" w:eastAsia="Arial Black" w:hAnsi="Arial Black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  <w:u w:val="singl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portovelho.ro.gov.br/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