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urier New" w:cs="Courier New" w:eastAsia="Courier New" w:hAnsi="Courier New"/>
          <w:b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RELATÓRIO DE EXAME DE DESPESA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1"/>
        </w:numPr>
        <w:spacing w:after="240" w:before="240" w:lineRule="auto"/>
        <w:ind w:left="720" w:hanging="36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Introdução</w:t>
      </w:r>
    </w:p>
    <w:p w:rsidR="00000000" w:rsidDel="00000000" w:rsidP="00000000" w:rsidRDefault="00000000" w:rsidRPr="00000000" w14:paraId="00000004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1.1.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O presente trabalho propõe modelo de apresentação de relatórios expedidos pelas Unidades Executoras de Controle Interno das Unidades Requisitantes, conforme Apêndices A e B, para a execução dos controles dos processos de despesa e inscrições de restos a pagar, conforme inciso III do art. 14 deste Decreto.</w:t>
      </w:r>
    </w:p>
    <w:p w:rsidR="00000000" w:rsidDel="00000000" w:rsidP="00000000" w:rsidRDefault="00000000" w:rsidRPr="00000000" w14:paraId="00000005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1.2.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Trata-se de importante instrumento na uniformização dos trabalhos apresentados e, ainda, assegura padrão de qualidade, requisito inerente e imprescindível aos trabalhos.</w:t>
      </w:r>
    </w:p>
    <w:p w:rsidR="00000000" w:rsidDel="00000000" w:rsidP="00000000" w:rsidRDefault="00000000" w:rsidRPr="00000000" w14:paraId="00000006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1.3.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Atenderão ainda à uniformização, os demais documentos elaborados após exame de processos, no qual serão emitidas opiniões.</w:t>
      </w:r>
    </w:p>
    <w:p w:rsidR="00000000" w:rsidDel="00000000" w:rsidP="00000000" w:rsidRDefault="00000000" w:rsidRPr="00000000" w14:paraId="00000007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240" w:before="240" w:lineRule="auto"/>
        <w:ind w:left="720" w:hanging="36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Forma de Apresentação das Informações</w:t>
      </w:r>
    </w:p>
    <w:p w:rsidR="00000000" w:rsidDel="00000000" w:rsidP="00000000" w:rsidRDefault="00000000" w:rsidRPr="00000000" w14:paraId="00000009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2.1.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As informações apresentadas em relatórios estarão dispostas conforme descrição abaixo.</w:t>
      </w:r>
    </w:p>
    <w:p w:rsidR="00000000" w:rsidDel="00000000" w:rsidP="00000000" w:rsidRDefault="00000000" w:rsidRPr="00000000" w14:paraId="0000000A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Formatação do texto</w:t>
      </w:r>
    </w:p>
    <w:p w:rsidR="00000000" w:rsidDel="00000000" w:rsidP="00000000" w:rsidRDefault="00000000" w:rsidRPr="00000000" w14:paraId="0000000C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3.1.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A formatação dos relatórios quanto ao tamanho do papel, tipo e tamanho da fonte, numeração de páginas, margens, cabeçalho e formatação dos parágrafos, deverá seguir as seguintes diretrizes:.</w:t>
      </w:r>
    </w:p>
    <w:p w:rsidR="00000000" w:rsidDel="00000000" w:rsidP="00000000" w:rsidRDefault="00000000" w:rsidRPr="00000000" w14:paraId="0000000D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3.1.1..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Será utilizado o papel de tamanho A4 (210 x 297 mm). </w:t>
      </w:r>
    </w:p>
    <w:p w:rsidR="00000000" w:rsidDel="00000000" w:rsidP="00000000" w:rsidRDefault="00000000" w:rsidRPr="00000000" w14:paraId="0000000E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3.1.2.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O texto poderá ser grafado com a letra tipo </w:t>
      </w: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Courier New,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de tamanho 12 e alinhado a ambas as margens (alinhamento justificado).</w:t>
      </w:r>
    </w:p>
    <w:p w:rsidR="00000000" w:rsidDel="00000000" w:rsidP="00000000" w:rsidRDefault="00000000" w:rsidRPr="00000000" w14:paraId="0000000F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3.1.3.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As páginas serão numeradas no canto inferior direito.</w:t>
      </w:r>
    </w:p>
    <w:p w:rsidR="00000000" w:rsidDel="00000000" w:rsidP="00000000" w:rsidRDefault="00000000" w:rsidRPr="00000000" w14:paraId="00000010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3.1.4.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As margens medirão: 3 centímetros (superior e esquerda); 2 centímetros (inferior e direita); e 1,25 centímetro (cabeçalho e rodapé).</w:t>
      </w:r>
    </w:p>
    <w:p w:rsidR="00000000" w:rsidDel="00000000" w:rsidP="00000000" w:rsidRDefault="00000000" w:rsidRPr="00000000" w14:paraId="00000011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3.1.5.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O cabeçalho trará o brasão da Prefeitura à esquerda e será composto dos seguintes nomes: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“PREFEITURA DO MUNICÍPIO DE PORTO VELHO”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em negrito e em letras maiúsculas, na primeira linha à direita, no tamanho 11; “SECRETARIA MUNICIPAL DE ...”, em letras maiúsculas, na segunda linha à direita, no tamanho 10; Nas demais linhas, “Divisão de Controle e Análise Processual” no tamanho 10 e com iniciais maiúsculas. Veja o exemplo de cabeçalho, a seguir: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 1: Exemplo de cabeçalho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127635</wp:posOffset>
            </wp:positionV>
            <wp:extent cx="628650" cy="552450"/>
            <wp:effectExtent b="0" l="0" r="0" t="0"/>
            <wp:wrapNone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1622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PREFEITURA DO MUNICÍPIO DE PORTO VELHO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1622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MUNICIPAL DE SAÚDE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1622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Divisão de Controle e Análise Processual</w:t>
      </w:r>
    </w:p>
    <w:p w:rsidR="00000000" w:rsidDel="00000000" w:rsidP="00000000" w:rsidRDefault="00000000" w:rsidRPr="00000000" w14:paraId="00000017">
      <w:pPr>
        <w:spacing w:after="120" w:before="12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3.1.6.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Os parágrafos do texto serão numerados utilizando-se a opção de automatizar para facilitar eventual rearranjo do texto. Os números permanecerão alinhados à margem esquerda e o texto iniciará a 2,5 centímetros desta. Haverá espaçamento simples entre as linhas e um espaçamento de 6 pontos (0,21 cm) antes e 6 pontos (0,21 cm) depois entre os parágrafos.</w:t>
      </w:r>
    </w:p>
    <w:p w:rsidR="00000000" w:rsidDel="00000000" w:rsidP="00000000" w:rsidRDefault="00000000" w:rsidRPr="00000000" w14:paraId="00000019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Apresentação de dados</w:t>
      </w:r>
    </w:p>
    <w:p w:rsidR="00000000" w:rsidDel="00000000" w:rsidP="00000000" w:rsidRDefault="00000000" w:rsidRPr="00000000" w14:paraId="0000001B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4.1.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Para que os relatórios atinjam seus objetivos, é importante que seus argumentos sejam apresentados de forma clara e convincente. Para tanto, poderá ser utilizado na apresentação de dados, por exemplo, figuras como tabelas, gráficos, fotografias, caixas-de-texto, diagramas e mapas. As principais recomendações a serem seguidas ao se fazer uso desses elementos serão que haja identificação sequencial (figura “n”, tabela “n”) com título na fonte tamanho 10, em negrito, e nota de rodapé, com inclusão obrigatória da fonte das informações obtidas.</w:t>
      </w:r>
    </w:p>
    <w:p w:rsidR="00000000" w:rsidDel="00000000" w:rsidP="00000000" w:rsidRDefault="00000000" w:rsidRPr="00000000" w14:paraId="0000001C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4.2.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Se uma tabela ficar muito extensa, pode-se dividi-la em duas ou mais tabelas menores e mais simples ou transformá-la em apêndice.</w:t>
      </w:r>
    </w:p>
    <w:p w:rsidR="00000000" w:rsidDel="00000000" w:rsidP="00000000" w:rsidRDefault="00000000" w:rsidRPr="00000000" w14:paraId="0000001D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120" w:before="120" w:lineRule="auto"/>
        <w:ind w:left="720" w:hanging="360"/>
        <w:jc w:val="left"/>
        <w:rPr>
          <w:rFonts w:ascii="Cambria" w:cs="Cambria" w:eastAsia="Cambria" w:hAnsi="Cambria"/>
          <w:b w:val="1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Citações e Referências</w:t>
      </w:r>
    </w:p>
    <w:p w:rsidR="00000000" w:rsidDel="00000000" w:rsidP="00000000" w:rsidRDefault="00000000" w:rsidRPr="00000000" w14:paraId="0000001F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5.1.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Em relação às citações, poderá ser dada a preferência às citações indiretas, resumindo as informações que se deseja transmitir. Citações diretas com mais de três linhas, quando imprescindíveis, constituem parágrafo próprio, recuado quatro centímetros da margem esquerda e grafado com tamanho de fonte 10 e sem aspas. Citações diretas curtas, de até três linhas, serão inseridas no próprio texto, entre aspas.</w:t>
      </w:r>
    </w:p>
    <w:p w:rsidR="00000000" w:rsidDel="00000000" w:rsidP="00000000" w:rsidRDefault="00000000" w:rsidRPr="00000000" w14:paraId="00000020">
      <w:pPr>
        <w:tabs>
          <w:tab w:val="left" w:leader="none" w:pos="1440"/>
        </w:tabs>
        <w:spacing w:after="0" w:before="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5.2.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 referências incluídas em nota de rodapé serão grafadas com o mesmo tipo de fonte do texto principal, mas com tamanho 10. Serão numeradas sequencialmente ao longo do texto.</w:t>
      </w:r>
    </w:p>
    <w:p w:rsidR="00000000" w:rsidDel="00000000" w:rsidP="00000000" w:rsidRDefault="00000000" w:rsidRPr="00000000" w14:paraId="00000021">
      <w:pPr>
        <w:tabs>
          <w:tab w:val="left" w:leader="none" w:pos="1440"/>
        </w:tabs>
        <w:spacing w:after="0" w:before="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tabs>
          <w:tab w:val="left" w:leader="none" w:pos="1440"/>
        </w:tabs>
        <w:spacing w:after="240" w:before="240" w:lineRule="auto"/>
        <w:ind w:left="720" w:hanging="360"/>
        <w:jc w:val="both"/>
        <w:rPr>
          <w:rFonts w:ascii="Cambria" w:cs="Cambria" w:eastAsia="Cambria" w:hAnsi="Cambria"/>
          <w:b w:val="1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Da Manifestação da Divisão de Controle e Análise Processual</w:t>
      </w:r>
    </w:p>
    <w:p w:rsidR="00000000" w:rsidDel="00000000" w:rsidP="00000000" w:rsidRDefault="00000000" w:rsidRPr="00000000" w14:paraId="00000023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6.1.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Os relatórios contêm inicialmente o título, com a expressão “RELATÓRIO”, escrita em letras maiúsculas e em negrito, com alinhamento centralizado, seguida de numeração seqüencial, sigla da Secretaria, sigla da unidade emitente “CCP” e ano de emissão.</w:t>
      </w:r>
    </w:p>
    <w:p w:rsidR="00000000" w:rsidDel="00000000" w:rsidP="00000000" w:rsidRDefault="00000000" w:rsidRPr="00000000" w14:paraId="00000024">
      <w:pPr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6.2.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Após o título, anota-se o cabeçalho que será composto por informações consideradas relevantes para identificação do objeto da despesa. Dentre os elementos primordiais, destacam-se as seguintes expressões: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leader="none" w:pos="1980"/>
        </w:tabs>
        <w:spacing w:after="120" w:before="120" w:lineRule="auto"/>
        <w:ind w:left="0" w:firstLine="1418"/>
        <w:jc w:val="both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Processo nº: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em negrito, alinhada à esquerda, seguida de sua identificação composta do número e do ano com quatro dígitos;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1980"/>
        </w:tabs>
        <w:spacing w:after="120" w:before="120" w:lineRule="auto"/>
        <w:ind w:left="0" w:firstLine="1418"/>
        <w:jc w:val="both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Interessado: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em negrito, alinhada à esquerda, seguida da indicação de nome, unidade ou empresa envolvidos no caso em exame;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1980"/>
        </w:tabs>
        <w:spacing w:after="120" w:before="120" w:lineRule="auto"/>
        <w:ind w:left="0" w:firstLine="1418"/>
        <w:jc w:val="both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Valor: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em negrito, alinhada à esquerda, seguida da indicação do valor tratado nos autos.</w:t>
      </w:r>
    </w:p>
    <w:p w:rsidR="00000000" w:rsidDel="00000000" w:rsidP="00000000" w:rsidRDefault="00000000" w:rsidRPr="00000000" w14:paraId="00000028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6.3.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Os relatórios serão divididos em três subtítulos, grafados em negrito, com espaçamento de 12 pontos (0,42 cm) antes e 12 pontos (0,42 cm) depois, iniciando a numeração sequencial de cada parte do documento.</w:t>
      </w:r>
    </w:p>
    <w:p w:rsidR="00000000" w:rsidDel="00000000" w:rsidP="00000000" w:rsidRDefault="00000000" w:rsidRPr="00000000" w14:paraId="00000029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6.4.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Os subtítulos serão os seguintes: “SÍNTESE DO PROCESSO”, “RESULTADO DA CONFERÊNCIA” e “CONCLUSÃO”, conforme as seguintes descrições. </w:t>
      </w:r>
    </w:p>
    <w:p w:rsidR="00000000" w:rsidDel="00000000" w:rsidP="00000000" w:rsidRDefault="00000000" w:rsidRPr="00000000" w14:paraId="0000002A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SÍNTESE DO PROCESSO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tabs>
          <w:tab w:val="left" w:leader="none" w:pos="1440"/>
        </w:tabs>
        <w:spacing w:after="0" w:afterAutospacing="0" w:before="12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 relatório conterá inicialmente um parágrafo em que se descrevem as informações indispensáveis para caracterizar o trabalho, a saber: a indicação da extensão da responsabilidade da Divisão, o tipo de análise com a descrição da etapa de tramitação do processo, o objeto da análise caracterizando a despesa ou registro examinado e o órgão e/ou entidade envolvidos, conforme procedimentos estabelecidos neste Decreto.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tabs>
          <w:tab w:val="left" w:leader="none" w:pos="1440"/>
        </w:tabs>
        <w:spacing w:after="120" w:before="0" w:beforeAutospacing="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 fim, antes de discorrer sobre os resultados da conferência, serão especificadas as peças principais constantes dos autos e que sustentarão as considerações finais com a indicação da numeração das páginas.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RESULTADO DA CONFERÊNCIA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1440"/>
        </w:tabs>
        <w:spacing w:after="0" w:afterAutospacing="0" w:before="12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Nos parágrafos intermediários ou de desenvolvimento, serão apresentados de forma sintética e objetiva cada um dos pontos sob exame, os argumentos pró e contra e a menção às normas obedecidas ou registro das impropriedades ou irregularidades que resultem da inobservância de normas legais e regulamentares, conforme análise realizada mediante orientação dos formulários de conferência de procedimentos estabelecidos neste Decreto.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1440"/>
        </w:tabs>
        <w:spacing w:after="120" w:before="0" w:beforeAutospacing="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 desenvolvimento, cada assunto será tratado em parágrafo específico, ou seja, não é recomendável tratar mais de um tema no mesmo parágrafo.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CONCLUSÃO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tabs>
          <w:tab w:val="left" w:leader="none" w:pos="1440"/>
        </w:tabs>
        <w:spacing w:after="0" w:afterAutospacing="0" w:before="12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Ao final do relatório, serão expostas as considerações finais quanto ao cumprimento dos procedimentos formais no processo analisado de forma coerente e cabível com os argumentos dos parágrafos intermediários. O servidor que emitir o relatório deverá ter convicção dos argumentos apresentados. Serão evitadas expressões que incite dúvidas a respeito da avaliação realizada, tal como, “salvo melhor juízo”.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tabs>
          <w:tab w:val="left" w:leader="none" w:pos="1440"/>
        </w:tabs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 caso de anotação de falha ou descumprimento dos procedimentos formais, será procedida, a cada ocorrência ou argumento, uma recomendação.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tabs>
          <w:tab w:val="left" w:leader="none" w:pos="1440"/>
        </w:tabs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Após o parágrafo final será registrado, depois de no mínimo, três linhas de espaço, o local e a data do dia de emissão do relatório, centralizados.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tabs>
          <w:tab w:val="left" w:leader="none" w:pos="1440"/>
        </w:tabs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Após anotação de local e data, depois de no mínimo três linhas de espaço, será identificado o responsável pela elaboração e emissão do relatório, com nome, cargo que ocupa, cadastro funcional e numeração da portaria de designação, sequencialmente uma linha após a outra, centralizados. Quando houver mais de um emitente, será centralizada a identificação observando a distribuição espacial simétrica. O nome do emitente será grafado em negrito e a descrição do cargo e do cadastro funcional em fonte tamanho 11.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tabs>
          <w:tab w:val="left" w:leader="none" w:pos="1440"/>
        </w:tabs>
        <w:spacing w:after="120" w:before="0" w:beforeAutospacing="0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Serão elementos pós-textuais dos relatórios, os apêndices e anexos, conforme descrições relacionadas abaixo.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120" w:before="120" w:lineRule="auto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120" w:before="120" w:lineRule="auto"/>
        <w:jc w:val="left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Apêndices</w:t>
      </w:r>
    </w:p>
    <w:p w:rsidR="00000000" w:rsidDel="00000000" w:rsidP="00000000" w:rsidRDefault="00000000" w:rsidRPr="00000000" w14:paraId="00000038">
      <w:pPr>
        <w:tabs>
          <w:tab w:val="left" w:leader="none" w:pos="1440"/>
        </w:tabs>
        <w:spacing w:after="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7.1. Os apêndices são informações adicionais produzidas pela equipe de trabalho, constituem quaisquer detalhamentos necessários ao entendimento e sustentação dos argumentos apresentados cuja inserção no texto principal prejudicaria o fluxo de exposição. São identificados por letras maiúsculas, consecutivas e pelos respectivos títulos.</w:t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right="0"/>
        <w:jc w:val="left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right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8.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Anexos</w:t>
      </w:r>
    </w:p>
    <w:p w:rsidR="00000000" w:rsidDel="00000000" w:rsidP="00000000" w:rsidRDefault="00000000" w:rsidRPr="00000000" w14:paraId="0000003B">
      <w:pPr>
        <w:tabs>
          <w:tab w:val="left" w:leader="none" w:pos="1440"/>
        </w:tabs>
        <w:spacing w:after="120" w:before="120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8.1.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Os anexos são informações adicionais não produzidas pela equipe, que colaboram para esclarecer e confirmar as ideias expressas no texto, como por exemplo, cópia de peças dos autos, notícias veiculadas em jornal, decisões do Tribunal de Contas do Estado e etc. São identificados por letras maiúsculas consecutivas e pelos respectivos títulos.</w:t>
      </w:r>
    </w:p>
    <w:p w:rsidR="00000000" w:rsidDel="00000000" w:rsidP="00000000" w:rsidRDefault="00000000" w:rsidRPr="00000000" w14:paraId="0000003C">
      <w:pP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APÊNDICE A - Modelo de Relatório - Pagamento Regular</w:t>
      </w:r>
    </w:p>
    <w:p w:rsidR="00000000" w:rsidDel="00000000" w:rsidP="00000000" w:rsidRDefault="00000000" w:rsidRPr="00000000" w14:paraId="0000003E">
      <w:pPr>
        <w:spacing w:after="480" w:before="240" w:lineRule="auto"/>
        <w:jc w:val="center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RELATÓRIO nº XXX/SEM.../DCAP/20__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292100</wp:posOffset>
                </wp:positionV>
                <wp:extent cx="1798320" cy="19621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51603" y="3686655"/>
                          <a:ext cx="178879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Formatação conforme item 3.1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292100</wp:posOffset>
                </wp:positionV>
                <wp:extent cx="1798320" cy="19621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19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165100</wp:posOffset>
                </wp:positionV>
                <wp:extent cx="1809750" cy="1631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3703165"/>
                          <a:ext cx="180022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Formatação conforme item 3.2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165100</wp:posOffset>
                </wp:positionV>
                <wp:extent cx="1809750" cy="16319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1440"/>
        </w:tabs>
        <w:spacing w:after="120" w:before="120" w:lineRule="auto"/>
        <w:jc w:val="both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Processo nº:  </w:t>
        <w:tab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XX.XXXXX-XXX/20__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spacing w:after="120" w:before="12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Interessado:  .........................................</w:t>
      </w:r>
    </w:p>
    <w:p w:rsidR="00000000" w:rsidDel="00000000" w:rsidP="00000000" w:rsidRDefault="00000000" w:rsidRPr="00000000" w14:paraId="00000041">
      <w:pPr>
        <w:tabs>
          <w:tab w:val="left" w:leader="none" w:pos="1440"/>
        </w:tabs>
        <w:spacing w:after="120" w:before="12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Assunto:  .............................................</w:t>
      </w:r>
    </w:p>
    <w:p w:rsidR="00000000" w:rsidDel="00000000" w:rsidP="00000000" w:rsidRDefault="00000000" w:rsidRPr="00000000" w14:paraId="00000042">
      <w:pPr>
        <w:tabs>
          <w:tab w:val="left" w:leader="none" w:pos="1440"/>
        </w:tabs>
        <w:spacing w:after="120" w:before="120" w:lineRule="auto"/>
        <w:jc w:val="both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(...):    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177800</wp:posOffset>
                </wp:positionV>
                <wp:extent cx="681990" cy="22796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09768" y="3670780"/>
                          <a:ext cx="67246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Demais informações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177800</wp:posOffset>
                </wp:positionV>
                <wp:extent cx="681990" cy="227965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" cy="227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spacing w:after="238" w:before="238" w:lineRule="auto"/>
        <w:jc w:val="both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1.0</w:t>
        <w:tab/>
        <w:tab/>
        <w:t xml:space="preserve">Síntese do Processo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25400</wp:posOffset>
                </wp:positionV>
                <wp:extent cx="2573655" cy="1924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63935" y="3688560"/>
                          <a:ext cx="2564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Objeto da análise descrito no parágrafo 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25400</wp:posOffset>
                </wp:positionV>
                <wp:extent cx="2573655" cy="19240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365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292100</wp:posOffset>
                </wp:positionV>
                <wp:extent cx="753110" cy="52959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74208" y="3519968"/>
                          <a:ext cx="74358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Etapa de tramitação e competência da Divisão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292100</wp:posOffset>
                </wp:positionV>
                <wp:extent cx="753110" cy="52959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10" cy="529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tabs>
          <w:tab w:val="left" w:leader="none" w:pos="1418"/>
          <w:tab w:val="left" w:leader="none" w:pos="2211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 xml:space="preserve">O processo reúne documentação da aquisição de impressoras da Secretaria Municipal de Administração - SEMAD, encaminhados à Divisão de Controle e Análise Processual, antes da realização do pagamento da despesa, considerando os quesitos do Formulário - Anexo I do Decreto nº xxx/20__ às folhas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tabs>
          <w:tab w:val="left" w:leader="none" w:pos="1418"/>
          <w:tab w:val="left" w:leader="none" w:pos="2211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 Instruído com folhas numeradas de 01 a XXX, constam os seguintes documentos, dentre outros: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211"/>
        </w:tabs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938530" cy="6578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81498" y="3455833"/>
                          <a:ext cx="92900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Principais peças examinadas que sustentarão a manifestação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0</wp:posOffset>
                </wp:positionV>
                <wp:extent cx="938530" cy="65786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530" cy="657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Nota de Empenho nº xx, fl. xx;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31470" cy="87439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85260" y="3347820"/>
                          <a:ext cx="321480" cy="864360"/>
                        </a:xfrm>
                        <a:custGeom>
                          <a:rect b="b" l="l" r="r" t="t"/>
                          <a:pathLst>
                            <a:path extrusionOk="0" h="1363" w="507">
                              <a:moveTo>
                                <a:pt x="506" y="0"/>
                              </a:moveTo>
                              <a:cubicBezTo>
                                <a:pt x="380" y="0"/>
                                <a:pt x="253" y="56"/>
                                <a:pt x="253" y="113"/>
                              </a:cubicBezTo>
                              <a:lnTo>
                                <a:pt x="253" y="557"/>
                              </a:lnTo>
                              <a:cubicBezTo>
                                <a:pt x="253" y="613"/>
                                <a:pt x="126" y="670"/>
                                <a:pt x="0" y="670"/>
                              </a:cubicBezTo>
                              <a:cubicBezTo>
                                <a:pt x="126" y="670"/>
                                <a:pt x="253" y="727"/>
                                <a:pt x="253" y="784"/>
                              </a:cubicBezTo>
                              <a:lnTo>
                                <a:pt x="253" y="1248"/>
                              </a:lnTo>
                              <a:cubicBezTo>
                                <a:pt x="253" y="1305"/>
                                <a:pt x="380" y="1362"/>
                                <a:pt x="506" y="1362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31470" cy="87439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" cy="874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Nota Fiscal nº xx, fl. xx;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Certidões Negativas, fl. xx;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(...).</w:t>
      </w:r>
    </w:p>
    <w:p w:rsidR="00000000" w:rsidDel="00000000" w:rsidP="00000000" w:rsidRDefault="00000000" w:rsidRPr="00000000" w14:paraId="0000004B">
      <w:pPr>
        <w:tabs>
          <w:tab w:val="left" w:leader="none" w:pos="1440"/>
        </w:tabs>
        <w:spacing w:after="240" w:before="24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2.0       Resultado da Conferência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left" w:leader="none" w:pos="1418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Da conferência do Formulário - Anexo I do Decreto nº xxx/20__, às folhas XX, constata-se que os procedimentos, por ora, estão regulares antes da fase da pagamento.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508000</wp:posOffset>
                </wp:positionV>
                <wp:extent cx="1360805" cy="17653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670360" y="3696498"/>
                          <a:ext cx="13512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Argumentos da análise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508000</wp:posOffset>
                </wp:positionV>
                <wp:extent cx="1360805" cy="17653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805" cy="176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tabs>
          <w:tab w:val="left" w:leader="none" w:pos="1418"/>
        </w:tabs>
        <w:spacing w:after="120" w:before="12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3.0       Conclusão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tabs>
          <w:tab w:val="left" w:leader="none" w:pos="1440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Portanto, opina-se pelo envio dos autos ao Gabinete do Secretário para deliberação do pagamento, consoante ao artigo 64 da Lei nº 4.320/1964, dentro da conveniência e oportunidade, e ao financeiro para atender o estágio de pagamento na forma da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Rule="auto"/>
        <w:jc w:val="center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Porto Velho/RO, xx de ................ de xxxx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241300</wp:posOffset>
                </wp:positionV>
                <wp:extent cx="2186305" cy="2279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257610" y="3670780"/>
                          <a:ext cx="217678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Exposição de manifestação e encaminhamentos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241300</wp:posOffset>
                </wp:positionV>
                <wp:extent cx="2186305" cy="227965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227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spacing w:after="120" w:before="12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Membro</w:t>
      </w:r>
    </w:p>
    <w:p w:rsidR="00000000" w:rsidDel="00000000" w:rsidP="00000000" w:rsidRDefault="00000000" w:rsidRPr="00000000" w14:paraId="00000052">
      <w:pPr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Cargo, Cadastro e Decreto nº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APÊNDICE B - Modelo - Relatório Pagamento Impropriedade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304800</wp:posOffset>
                </wp:positionV>
                <wp:extent cx="1809750" cy="16319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45888" y="3703165"/>
                          <a:ext cx="180022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Formatação conforme item 3.2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304800</wp:posOffset>
                </wp:positionV>
                <wp:extent cx="1809750" cy="16319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16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spacing w:after="120" w:before="120" w:lineRule="auto"/>
        <w:jc w:val="center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RELATÓRIO nº XXX/SEM.../DCAP/20__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292100</wp:posOffset>
                </wp:positionV>
                <wp:extent cx="1798320" cy="19621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451603" y="3686655"/>
                          <a:ext cx="178879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Formatação conforme item 3.1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292100</wp:posOffset>
                </wp:positionV>
                <wp:extent cx="1798320" cy="196215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19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tabs>
          <w:tab w:val="left" w:leader="none" w:pos="1440"/>
        </w:tabs>
        <w:spacing w:after="120" w:before="120" w:lineRule="auto"/>
        <w:jc w:val="both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Processo nº:  </w:t>
        <w:tab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XX.XXXXX-XXX/20__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440"/>
        </w:tabs>
        <w:spacing w:after="120" w:before="12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Interessado:  .........................................</w:t>
      </w:r>
    </w:p>
    <w:p w:rsidR="00000000" w:rsidDel="00000000" w:rsidP="00000000" w:rsidRDefault="00000000" w:rsidRPr="00000000" w14:paraId="00000057">
      <w:pPr>
        <w:tabs>
          <w:tab w:val="left" w:leader="none" w:pos="1440"/>
        </w:tabs>
        <w:spacing w:after="120" w:before="12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Assunto:  .............................................</w:t>
      </w:r>
    </w:p>
    <w:p w:rsidR="00000000" w:rsidDel="00000000" w:rsidP="00000000" w:rsidRDefault="00000000" w:rsidRPr="00000000" w14:paraId="00000058">
      <w:pPr>
        <w:tabs>
          <w:tab w:val="left" w:leader="none" w:pos="1440"/>
        </w:tabs>
        <w:spacing w:after="120" w:before="120" w:lineRule="auto"/>
        <w:jc w:val="both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(...):    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177800</wp:posOffset>
                </wp:positionV>
                <wp:extent cx="681990" cy="22796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009768" y="3670780"/>
                          <a:ext cx="67246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Demais informações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177800</wp:posOffset>
                </wp:positionV>
                <wp:extent cx="681990" cy="227965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" cy="227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spacing w:after="238" w:before="238" w:lineRule="auto"/>
        <w:jc w:val="both"/>
        <w:rPr/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1.0</w:t>
        <w:tab/>
        <w:tab/>
        <w:t xml:space="preserve">Síntese do Processo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25400</wp:posOffset>
                </wp:positionV>
                <wp:extent cx="2573655" cy="1924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63935" y="3688560"/>
                          <a:ext cx="25641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Objeto da análise descrito no parágrafo 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25400</wp:posOffset>
                </wp:positionV>
                <wp:extent cx="2573655" cy="19240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365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241300</wp:posOffset>
                </wp:positionV>
                <wp:extent cx="798830" cy="46482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51348" y="3552353"/>
                          <a:ext cx="78930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Etapa de tramitação e competência da Divisão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241300</wp:posOffset>
                </wp:positionV>
                <wp:extent cx="798830" cy="46482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464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tabs>
          <w:tab w:val="left" w:leader="none" w:pos="1133"/>
          <w:tab w:val="left" w:leader="none" w:pos="2211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processo reúne documentação para aquisição de impressoras da Secretaria Municipal de Obras – SEMOB, encaminhados à Divisão de Controle e Análise Processual para conferência, antes da realização do pagamento da despesa, considerando os quesitos do Formulário - Anexo I do Decreto nº xxx/20__ às folhas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tabs>
          <w:tab w:val="left" w:leader="none" w:pos="1418"/>
          <w:tab w:val="left" w:leader="none" w:pos="2211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Instruído com folhas numeradas de 01 a XXX, constam os seguintes documentos, dentre outros:</w:t>
      </w:r>
    </w:p>
    <w:p w:rsidR="00000000" w:rsidDel="00000000" w:rsidP="00000000" w:rsidRDefault="00000000" w:rsidRPr="00000000" w14:paraId="0000005C">
      <w:pPr>
        <w:tabs>
          <w:tab w:val="left" w:leader="none" w:pos="1418"/>
          <w:tab w:val="left" w:leader="none" w:pos="2211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0</wp:posOffset>
                </wp:positionV>
                <wp:extent cx="938530" cy="6578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81498" y="3455833"/>
                          <a:ext cx="92900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Principais peças examinadas que sustentarão a manifestação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0</wp:posOffset>
                </wp:positionV>
                <wp:extent cx="938530" cy="65786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530" cy="657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Nota de Empenho nº xx, fl. xx;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31470" cy="87439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85260" y="3347820"/>
                          <a:ext cx="321480" cy="864360"/>
                        </a:xfrm>
                        <a:custGeom>
                          <a:rect b="b" l="l" r="r" t="t"/>
                          <a:pathLst>
                            <a:path extrusionOk="0" h="1363" w="507">
                              <a:moveTo>
                                <a:pt x="506" y="0"/>
                              </a:moveTo>
                              <a:cubicBezTo>
                                <a:pt x="380" y="0"/>
                                <a:pt x="253" y="56"/>
                                <a:pt x="253" y="113"/>
                              </a:cubicBezTo>
                              <a:lnTo>
                                <a:pt x="253" y="557"/>
                              </a:lnTo>
                              <a:cubicBezTo>
                                <a:pt x="253" y="613"/>
                                <a:pt x="126" y="670"/>
                                <a:pt x="0" y="670"/>
                              </a:cubicBezTo>
                              <a:cubicBezTo>
                                <a:pt x="126" y="670"/>
                                <a:pt x="253" y="727"/>
                                <a:pt x="253" y="784"/>
                              </a:cubicBezTo>
                              <a:lnTo>
                                <a:pt x="253" y="1248"/>
                              </a:lnTo>
                              <a:cubicBezTo>
                                <a:pt x="253" y="1305"/>
                                <a:pt x="380" y="1362"/>
                                <a:pt x="506" y="1362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31470" cy="87439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" cy="874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Nota Fiscal nº xx, fl. xx;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Certidões Negativas, fl. xx;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tabs>
          <w:tab w:val="left" w:leader="none" w:pos="1440"/>
          <w:tab w:val="left" w:leader="none" w:pos="1980"/>
        </w:tabs>
        <w:ind w:left="1440" w:hanging="11.999999999999886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(...).</w:t>
      </w:r>
    </w:p>
    <w:p w:rsidR="00000000" w:rsidDel="00000000" w:rsidP="00000000" w:rsidRDefault="00000000" w:rsidRPr="00000000" w14:paraId="00000061">
      <w:pPr>
        <w:tabs>
          <w:tab w:val="left" w:leader="none" w:pos="1440"/>
        </w:tabs>
        <w:spacing w:after="240" w:before="24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2.0       Resultado da Conferência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</w:t>
        <w:tab/>
        <w:t xml:space="preserve">Da conferência do Formulário - Anexo 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Decreto nº xxx/20__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às folhas XX, constata-se que os procedimentos, por ora, estão com as seguintes inconformidades, veja-se: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508000</wp:posOffset>
                </wp:positionV>
                <wp:extent cx="1360805" cy="17653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70360" y="3696498"/>
                          <a:ext cx="13512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Argumentos da análise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508000</wp:posOffset>
                </wp:positionV>
                <wp:extent cx="1360805" cy="17653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805" cy="176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283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Certidão Negativa Municipal vencida, fl. xx;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Nota Fiscal sem atesto pela Comissão de recebimento, fl. xx;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Nota de empenho sem assinatura dos responsáveis, fl. xx.</w:t>
      </w:r>
    </w:p>
    <w:p w:rsidR="00000000" w:rsidDel="00000000" w:rsidP="00000000" w:rsidRDefault="00000000" w:rsidRPr="00000000" w14:paraId="00000066">
      <w:pPr>
        <w:tabs>
          <w:tab w:val="left" w:leader="none" w:pos="1440"/>
        </w:tabs>
        <w:spacing w:after="120" w:before="12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3.0       Conclusão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tabs>
          <w:tab w:val="left" w:leader="none" w:pos="1440"/>
        </w:tabs>
        <w:spacing w:after="120" w:before="120" w:lineRule="auto"/>
        <w:ind w:left="0" w:firstLine="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Portanto, opina-se que antes da realização do pagamento seja providenciado pelo setor...as seguintes regularizações pontuadas no item acima.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406400</wp:posOffset>
                </wp:positionV>
                <wp:extent cx="2186305" cy="22796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57610" y="3670780"/>
                          <a:ext cx="217678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urier New" w:cs="Courier New" w:eastAsia="Courier New" w:hAnsi="Courier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Exposição de manifestação e encaminhamentos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406400</wp:posOffset>
                </wp:positionV>
                <wp:extent cx="2186305" cy="22796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227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spacing w:after="120" w:before="12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Porto Velho/RO, xx de ................ de xxxx</w:t>
      </w:r>
    </w:p>
    <w:p w:rsidR="00000000" w:rsidDel="00000000" w:rsidP="00000000" w:rsidRDefault="00000000" w:rsidRPr="00000000" w14:paraId="0000006A">
      <w:pPr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Membro</w:t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Cargo, Cadastro e Decreto nº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Courier New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7840.0" w:type="dxa"/>
      <w:jc w:val="left"/>
      <w:tblLayout w:type="fixed"/>
      <w:tblLook w:val="0000"/>
    </w:tblPr>
    <w:tblGrid>
      <w:gridCol w:w="1886"/>
      <w:gridCol w:w="5954"/>
      <w:tblGridChange w:id="0">
        <w:tblGrid>
          <w:gridCol w:w="1886"/>
          <w:gridCol w:w="5954"/>
        </w:tblGrid>
      </w:tblGridChange>
    </w:tblGrid>
    <w:tr>
      <w:trPr>
        <w:cantSplit w:val="0"/>
        <w:trHeight w:val="284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hanging="2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-420369</wp:posOffset>
                </wp:positionH>
                <wp:positionV relativeFrom="paragraph">
                  <wp:posOffset>-19049</wp:posOffset>
                </wp:positionV>
                <wp:extent cx="555625" cy="514350"/>
                <wp:effectExtent b="0" l="0" r="0" t="0"/>
                <wp:wrapNone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hanging="2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hanging="2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Anexo X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LVII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 do Decreto nº XXXXX de XX/XX/XXXX</w:t>
          </w:r>
        </w:p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2210" w:hanging="360"/>
      </w:pPr>
      <w:rPr>
        <w:rFonts w:ascii="Courier New" w:cs="Courier New" w:eastAsia="Courier New" w:hAnsi="Courier New"/>
        <w:b w:val="1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1.%1"/>
      <w:lvlJc w:val="left"/>
      <w:pPr>
        <w:ind w:left="720" w:hanging="360"/>
      </w:pPr>
      <w:rPr>
        <w:rFonts w:ascii="Courier New" w:cs="Courier New" w:eastAsia="Courier New" w:hAnsi="Courier New"/>
        <w:b w:val="0"/>
      </w:rPr>
    </w:lvl>
    <w:lvl w:ilvl="1">
      <w:start w:val="1"/>
      <w:numFmt w:val="decimal"/>
      <w:lvlText w:val="1.%2"/>
      <w:lvlJc w:val="left"/>
      <w:pPr>
        <w:ind w:left="1080" w:hanging="360"/>
      </w:pPr>
      <w:rPr/>
    </w:lvl>
    <w:lvl w:ilvl="2">
      <w:start w:val="1"/>
      <w:numFmt w:val="decimal"/>
      <w:lvlText w:val="1.%3"/>
      <w:lvlJc w:val="left"/>
      <w:pPr>
        <w:ind w:left="1440" w:hanging="360"/>
      </w:pPr>
      <w:rPr/>
    </w:lvl>
    <w:lvl w:ilvl="3">
      <w:start w:val="1"/>
      <w:numFmt w:val="decimal"/>
      <w:lvlText w:val="1.%4"/>
      <w:lvlJc w:val="left"/>
      <w:pPr>
        <w:ind w:left="1800" w:hanging="360"/>
      </w:pPr>
      <w:rPr/>
    </w:lvl>
    <w:lvl w:ilvl="4">
      <w:start w:val="1"/>
      <w:numFmt w:val="decimal"/>
      <w:lvlText w:val="1.%5"/>
      <w:lvlJc w:val="left"/>
      <w:pPr>
        <w:ind w:left="2160" w:hanging="360"/>
      </w:pPr>
      <w:rPr/>
    </w:lvl>
    <w:lvl w:ilvl="5">
      <w:start w:val="1"/>
      <w:numFmt w:val="decimal"/>
      <w:lvlText w:val="1.%6"/>
      <w:lvlJc w:val="left"/>
      <w:pPr>
        <w:ind w:left="2520" w:hanging="360"/>
      </w:pPr>
      <w:rPr/>
    </w:lvl>
    <w:lvl w:ilvl="6">
      <w:start w:val="1"/>
      <w:numFmt w:val="decimal"/>
      <w:lvlText w:val="1.%7"/>
      <w:lvlJc w:val="left"/>
      <w:pPr>
        <w:ind w:left="2880" w:hanging="360"/>
      </w:pPr>
      <w:rPr/>
    </w:lvl>
    <w:lvl w:ilvl="7">
      <w:start w:val="1"/>
      <w:numFmt w:val="decimal"/>
      <w:lvlText w:val="1.%8"/>
      <w:lvlJc w:val="left"/>
      <w:pPr>
        <w:ind w:left="3240" w:hanging="360"/>
      </w:pPr>
      <w:rPr/>
    </w:lvl>
    <w:lvl w:ilvl="8">
      <w:start w:val="1"/>
      <w:numFmt w:val="decimal"/>
      <w:lvlText w:val="1.%9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2.%1"/>
      <w:lvlJc w:val="left"/>
      <w:pPr>
        <w:ind w:left="180" w:firstLine="0"/>
      </w:pPr>
      <w:rPr>
        <w:rFonts w:ascii="Courier New" w:cs="Courier New" w:eastAsia="Courier New" w:hAnsi="Courier New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3.%1"/>
      <w:lvlJc w:val="left"/>
      <w:pPr>
        <w:ind w:left="180" w:firstLine="0"/>
      </w:pPr>
      <w:rPr>
        <w:rFonts w:ascii="Courier New" w:cs="Courier New" w:eastAsia="Courier New" w:hAnsi="Courier New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1.%1"/>
      <w:lvlJc w:val="left"/>
      <w:pPr>
        <w:ind w:left="1440" w:hanging="360"/>
      </w:pPr>
      <w:rPr>
        <w:rFonts w:ascii="Courier New" w:cs="Courier New" w:eastAsia="Courier New" w:hAnsi="Courier New"/>
        <w:b w:val="0"/>
      </w:rPr>
    </w:lvl>
    <w:lvl w:ilvl="1">
      <w:start w:val="1"/>
      <w:numFmt w:val="decimal"/>
      <w:lvlText w:val="1.%2"/>
      <w:lvlJc w:val="left"/>
      <w:pPr>
        <w:ind w:left="1800" w:hanging="360"/>
      </w:pPr>
      <w:rPr/>
    </w:lvl>
    <w:lvl w:ilvl="2">
      <w:start w:val="1"/>
      <w:numFmt w:val="decimal"/>
      <w:lvlText w:val="1.%3"/>
      <w:lvlJc w:val="left"/>
      <w:pPr>
        <w:ind w:left="2160" w:hanging="360"/>
      </w:pPr>
      <w:rPr/>
    </w:lvl>
    <w:lvl w:ilvl="3">
      <w:start w:val="1"/>
      <w:numFmt w:val="decimal"/>
      <w:lvlText w:val="1.%4"/>
      <w:lvlJc w:val="left"/>
      <w:pPr>
        <w:ind w:left="2520" w:hanging="360"/>
      </w:pPr>
      <w:rPr/>
    </w:lvl>
    <w:lvl w:ilvl="4">
      <w:start w:val="1"/>
      <w:numFmt w:val="decimal"/>
      <w:lvlText w:val="1.%5"/>
      <w:lvlJc w:val="left"/>
      <w:pPr>
        <w:ind w:left="2880" w:hanging="360"/>
      </w:pPr>
      <w:rPr/>
    </w:lvl>
    <w:lvl w:ilvl="5">
      <w:start w:val="1"/>
      <w:numFmt w:val="decimal"/>
      <w:lvlText w:val="1.%6"/>
      <w:lvlJc w:val="left"/>
      <w:pPr>
        <w:ind w:left="3240" w:hanging="360"/>
      </w:pPr>
      <w:rPr/>
    </w:lvl>
    <w:lvl w:ilvl="6">
      <w:start w:val="1"/>
      <w:numFmt w:val="decimal"/>
      <w:lvlText w:val="1.%7"/>
      <w:lvlJc w:val="left"/>
      <w:pPr>
        <w:ind w:left="3600" w:hanging="360"/>
      </w:pPr>
      <w:rPr/>
    </w:lvl>
    <w:lvl w:ilvl="7">
      <w:start w:val="1"/>
      <w:numFmt w:val="decimal"/>
      <w:lvlText w:val="1.%8"/>
      <w:lvlJc w:val="left"/>
      <w:pPr>
        <w:ind w:left="3960" w:hanging="360"/>
      </w:pPr>
      <w:rPr/>
    </w:lvl>
    <w:lvl w:ilvl="8">
      <w:start w:val="1"/>
      <w:numFmt w:val="decimal"/>
      <w:lvlText w:val="1.%9"/>
      <w:lvlJc w:val="left"/>
      <w:pPr>
        <w:ind w:left="4320" w:hanging="360"/>
      </w:pPr>
      <w:rPr/>
    </w:lvl>
  </w:abstractNum>
  <w:abstractNum w:abstractNumId="8">
    <w:lvl w:ilvl="0">
      <w:start w:val="1"/>
      <w:numFmt w:val="decimal"/>
      <w:lvlText w:val="3.%1"/>
      <w:lvlJc w:val="left"/>
      <w:pPr>
        <w:ind w:left="180" w:firstLine="0"/>
      </w:pPr>
      <w:rPr>
        <w:rFonts w:ascii="Courier New" w:cs="Courier New" w:eastAsia="Courier New" w:hAnsi="Courier New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ind w:left="732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